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40" w:rsidRDefault="004D4328" w:rsidP="00141240">
      <w:pPr>
        <w:spacing w:after="25" w:line="259" w:lineRule="auto"/>
        <w:ind w:left="2473" w:hanging="10"/>
        <w:jc w:val="center"/>
      </w:pPr>
      <w:r>
        <w:t xml:space="preserve">  </w:t>
      </w:r>
      <w:r w:rsidR="00236EC4">
        <w:t>Утвержден</w:t>
      </w:r>
    </w:p>
    <w:p w:rsidR="00141240" w:rsidRDefault="00236EC4" w:rsidP="00141240">
      <w:pPr>
        <w:ind w:left="5669" w:firstLine="0"/>
      </w:pPr>
      <w:r>
        <w:t xml:space="preserve">Общественным советом при Министерстве промышленности и торговли Республики Татарстан </w:t>
      </w:r>
      <w:r w:rsidR="00141240">
        <w:t>(</w:t>
      </w:r>
      <w:r w:rsidR="00D175C8" w:rsidRPr="0086378C">
        <w:rPr>
          <w:color w:val="auto"/>
        </w:rPr>
        <w:t xml:space="preserve">протокол от </w:t>
      </w:r>
      <w:r w:rsidR="004D4328">
        <w:rPr>
          <w:color w:val="auto"/>
        </w:rPr>
        <w:t>20</w:t>
      </w:r>
      <w:r w:rsidR="0086378C" w:rsidRPr="0086378C">
        <w:rPr>
          <w:color w:val="auto"/>
        </w:rPr>
        <w:t>.12.</w:t>
      </w:r>
      <w:r w:rsidR="004D4328">
        <w:rPr>
          <w:color w:val="auto"/>
        </w:rPr>
        <w:t>2024</w:t>
      </w:r>
      <w:r w:rsidR="00141240" w:rsidRPr="0086378C">
        <w:rPr>
          <w:color w:val="auto"/>
        </w:rPr>
        <w:t xml:space="preserve"> №</w:t>
      </w:r>
      <w:r w:rsidR="00D175C8" w:rsidRPr="0086378C">
        <w:rPr>
          <w:color w:val="auto"/>
        </w:rPr>
        <w:t xml:space="preserve"> </w:t>
      </w:r>
      <w:r w:rsidR="00141240" w:rsidRPr="0086378C">
        <w:rPr>
          <w:color w:val="auto"/>
        </w:rPr>
        <w:t>б/н</w:t>
      </w:r>
      <w:r>
        <w:t>)</w:t>
      </w:r>
      <w:bookmarkStart w:id="0" w:name="_GoBack"/>
      <w:bookmarkEnd w:id="0"/>
    </w:p>
    <w:p w:rsidR="00141240" w:rsidRDefault="00141240" w:rsidP="00141240">
      <w:pPr>
        <w:spacing w:after="21" w:line="259" w:lineRule="auto"/>
        <w:ind w:left="1207" w:firstLine="0"/>
        <w:jc w:val="center"/>
      </w:pPr>
      <w:r>
        <w:t xml:space="preserve"> </w:t>
      </w:r>
    </w:p>
    <w:p w:rsidR="00141240" w:rsidRDefault="00141240" w:rsidP="00141240">
      <w:pPr>
        <w:spacing w:after="26" w:line="259" w:lineRule="auto"/>
        <w:ind w:left="1207" w:firstLine="0"/>
        <w:jc w:val="center"/>
      </w:pPr>
      <w:r>
        <w:t xml:space="preserve"> </w:t>
      </w:r>
    </w:p>
    <w:p w:rsidR="00141240" w:rsidRDefault="00141240" w:rsidP="00141240">
      <w:pPr>
        <w:spacing w:after="21" w:line="259" w:lineRule="auto"/>
        <w:ind w:left="65" w:firstLine="0"/>
        <w:jc w:val="center"/>
      </w:pPr>
      <w:r>
        <w:t xml:space="preserve"> </w:t>
      </w:r>
    </w:p>
    <w:p w:rsidR="00141240" w:rsidRDefault="00236EC4" w:rsidP="00141240">
      <w:pPr>
        <w:spacing w:after="25" w:line="259" w:lineRule="auto"/>
        <w:ind w:left="712" w:right="709" w:hanging="10"/>
        <w:jc w:val="center"/>
      </w:pPr>
      <w:r>
        <w:t>Доклад</w:t>
      </w:r>
    </w:p>
    <w:p w:rsidR="00141240" w:rsidRDefault="00141240" w:rsidP="00141240">
      <w:pPr>
        <w:spacing w:after="0" w:line="285" w:lineRule="auto"/>
        <w:ind w:left="1276" w:right="1260" w:hanging="23"/>
        <w:jc w:val="center"/>
      </w:pPr>
      <w:r>
        <w:t xml:space="preserve">об организации </w:t>
      </w:r>
      <w:r w:rsidR="00236EC4">
        <w:t xml:space="preserve">системы внутреннего обеспечения </w:t>
      </w:r>
      <w:r>
        <w:t>соответств</w:t>
      </w:r>
      <w:r w:rsidR="00236EC4">
        <w:t xml:space="preserve">ия требованиям антимонопольного </w:t>
      </w:r>
      <w:r>
        <w:t xml:space="preserve">законодательства в </w:t>
      </w:r>
      <w:r w:rsidR="00236EC4">
        <w:t xml:space="preserve">Министерстве промышленности и </w:t>
      </w:r>
      <w:r>
        <w:t>торговли Республики Татарстан за 202</w:t>
      </w:r>
      <w:r w:rsidR="00221237">
        <w:t>3 – 2024</w:t>
      </w:r>
      <w:r w:rsidR="00466D33">
        <w:t xml:space="preserve"> гг.</w:t>
      </w:r>
    </w:p>
    <w:p w:rsidR="00141240" w:rsidRDefault="00141240" w:rsidP="00141240">
      <w:pPr>
        <w:spacing w:after="21" w:line="259" w:lineRule="auto"/>
        <w:ind w:left="65" w:firstLine="0"/>
        <w:jc w:val="center"/>
      </w:pPr>
    </w:p>
    <w:p w:rsidR="00141240" w:rsidRDefault="00141240" w:rsidP="00141240">
      <w:pPr>
        <w:spacing w:after="55" w:line="259" w:lineRule="auto"/>
        <w:ind w:left="65" w:firstLine="0"/>
        <w:jc w:val="center"/>
      </w:pPr>
      <w:r>
        <w:t xml:space="preserve"> </w:t>
      </w:r>
    </w:p>
    <w:p w:rsidR="00141240" w:rsidRDefault="00236EC4" w:rsidP="00141240">
      <w:pPr>
        <w:numPr>
          <w:ilvl w:val="0"/>
          <w:numId w:val="1"/>
        </w:numPr>
        <w:spacing w:after="25" w:line="259" w:lineRule="auto"/>
        <w:ind w:right="354" w:hanging="720"/>
      </w:pPr>
      <w:r>
        <w:t>Общие положения</w:t>
      </w:r>
      <w:r w:rsidR="00F57B9E">
        <w:t>.</w:t>
      </w:r>
    </w:p>
    <w:p w:rsidR="00141240" w:rsidRDefault="00141240" w:rsidP="00141240">
      <w:pPr>
        <w:spacing w:after="21" w:line="259" w:lineRule="auto"/>
        <w:ind w:left="65" w:firstLine="0"/>
        <w:jc w:val="center"/>
      </w:pPr>
      <w:r>
        <w:t xml:space="preserve"> </w:t>
      </w:r>
    </w:p>
    <w:p w:rsidR="00141240" w:rsidRDefault="00141240" w:rsidP="000B0205">
      <w:pPr>
        <w:ind w:left="-15"/>
      </w:pPr>
      <w:r>
        <w:t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 и в соответствии с распоряжением Правительства Российской Федерации от 18 октября 2018 г. № 2258-р, в целях обеспечения соблюдения антимонопольного законодательства и профилактики его нарушений в Министерстве промышленности и торговли Республики Та</w:t>
      </w:r>
      <w:r w:rsidR="000B0205">
        <w:t xml:space="preserve">тарстан (далее – Министерство) </w:t>
      </w:r>
      <w:r>
        <w:t xml:space="preserve">приказами </w:t>
      </w:r>
      <w:r w:rsidR="000B0205">
        <w:t xml:space="preserve">заместителя Премьер – министра Республики Татарстан – </w:t>
      </w:r>
      <w:r>
        <w:t>министра промышленности и торговли Республики Татарстан (далее – министр) от 22.02.2019 № 33 – ОД, от 04.09.2021 №</w:t>
      </w:r>
      <w:r w:rsidR="000B0205">
        <w:t xml:space="preserve"> </w:t>
      </w:r>
      <w:r>
        <w:t>164 – ОД организована система внутреннего обеспечения соответствия требованиям анти</w:t>
      </w:r>
      <w:r w:rsidR="000B0205">
        <w:t>монопольного законодательства.</w:t>
      </w:r>
    </w:p>
    <w:p w:rsidR="00141240" w:rsidRDefault="00141240" w:rsidP="00141240">
      <w:pPr>
        <w:ind w:left="-15"/>
      </w:pPr>
      <w: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Министерстве, регламентированным вышеназванными приказами (далее – Положение), контроль за организацией и функционированием в Министерстве антимонопольного </w:t>
      </w:r>
      <w:proofErr w:type="spellStart"/>
      <w:r>
        <w:t>комплаенса</w:t>
      </w:r>
      <w:proofErr w:type="spellEnd"/>
      <w:r>
        <w:t xml:space="preserve"> осуществляется заместителем министра. </w:t>
      </w:r>
    </w:p>
    <w:p w:rsidR="00141240" w:rsidRDefault="00141240" w:rsidP="00141240">
      <w:pPr>
        <w:ind w:left="-15"/>
      </w:pPr>
      <w:r>
        <w:t xml:space="preserve">Внутренний контроль осуществляется внутри структурных подразделений Министерства. </w:t>
      </w:r>
    </w:p>
    <w:p w:rsidR="00141240" w:rsidRDefault="00141240" w:rsidP="00141240">
      <w:pPr>
        <w:ind w:left="-15"/>
      </w:pPr>
      <w:r>
        <w:t xml:space="preserve">Для обеспечения выявления и предупреждения рисков нарушения требований антимонопольного законодательства Российской Федерации и возможности принятия оперативных мер по их предупреждению структурные подразделения Министерства при наличии неурегулированных разногласий, связанных с нарушением требований антимонопольного законодательства Российской </w:t>
      </w:r>
      <w:r>
        <w:lastRenderedPageBreak/>
        <w:t>Федерации, должны содействовать разрешению таких разногласий, а также вправе принять решение о передаче указанных разногласий на рассмотрение Комиссии по внутреннему контролю за соблюдением соответствия деятельности Министерства требованиям антимонопольного законодательства Российской Федерации (далее – Комиссия), созданной в целях принятия оперативных решений в части соблюдения требований антимонопольного законодательства Российской Федерации и Положения. Состав Комиссии утвержден вышеуказанными приказами.</w:t>
      </w:r>
    </w:p>
    <w:p w:rsidR="00141240" w:rsidRDefault="00141240" w:rsidP="00141240">
      <w:pPr>
        <w:spacing w:after="21" w:line="259" w:lineRule="auto"/>
        <w:ind w:left="0" w:firstLine="0"/>
        <w:jc w:val="left"/>
      </w:pPr>
    </w:p>
    <w:p w:rsidR="00141240" w:rsidRDefault="00141240" w:rsidP="00141240">
      <w:pPr>
        <w:spacing w:after="21" w:line="259" w:lineRule="auto"/>
        <w:ind w:left="710" w:firstLine="0"/>
        <w:jc w:val="left"/>
      </w:pPr>
      <w:r>
        <w:t xml:space="preserve"> </w:t>
      </w:r>
    </w:p>
    <w:p w:rsidR="00141240" w:rsidRDefault="00141240" w:rsidP="00141240">
      <w:pPr>
        <w:numPr>
          <w:ilvl w:val="0"/>
          <w:numId w:val="1"/>
        </w:numPr>
        <w:ind w:right="354" w:hanging="720"/>
      </w:pPr>
      <w:r w:rsidRPr="00A0205E">
        <w:rPr>
          <w:color w:val="auto"/>
        </w:rPr>
        <w:t>Информация о проведен</w:t>
      </w:r>
      <w:r w:rsidR="00E64D44" w:rsidRPr="00A0205E">
        <w:rPr>
          <w:color w:val="auto"/>
        </w:rPr>
        <w:t>ных Министерством мероприятиях</w:t>
      </w:r>
      <w:r w:rsidR="00F57B9E">
        <w:t>.</w:t>
      </w:r>
    </w:p>
    <w:p w:rsidR="00141240" w:rsidRDefault="00141240" w:rsidP="00141240">
      <w:pPr>
        <w:spacing w:line="269" w:lineRule="auto"/>
        <w:ind w:left="0" w:right="352" w:firstLine="709"/>
      </w:pPr>
    </w:p>
    <w:p w:rsidR="00141240" w:rsidRDefault="00141240" w:rsidP="00141240">
      <w:pPr>
        <w:spacing w:after="0" w:line="240" w:lineRule="auto"/>
        <w:ind w:left="-15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eastAsia="Arial"/>
        </w:rPr>
        <w:t xml:space="preserve">За </w:t>
      </w:r>
      <w:r w:rsidR="00466D33">
        <w:rPr>
          <w:rFonts w:eastAsia="Arial"/>
        </w:rPr>
        <w:t xml:space="preserve">период </w:t>
      </w:r>
      <w:r>
        <w:rPr>
          <w:rFonts w:eastAsia="Arial"/>
        </w:rPr>
        <w:t>202</w:t>
      </w:r>
      <w:r w:rsidR="00221237">
        <w:rPr>
          <w:rFonts w:eastAsia="Arial"/>
        </w:rPr>
        <w:t>3-2024</w:t>
      </w:r>
      <w:r w:rsidR="004D4328">
        <w:rPr>
          <w:rFonts w:eastAsia="Arial"/>
        </w:rPr>
        <w:t xml:space="preserve"> </w:t>
      </w:r>
      <w:r w:rsidR="00466D33">
        <w:rPr>
          <w:rFonts w:eastAsia="Arial"/>
        </w:rPr>
        <w:t>гг.</w:t>
      </w:r>
      <w:r w:rsidR="004D4328">
        <w:rPr>
          <w:rFonts w:eastAsia="Arial"/>
        </w:rPr>
        <w:t xml:space="preserve"> Министерством</w:t>
      </w:r>
      <w:r>
        <w:rPr>
          <w:rFonts w:eastAsia="Arial"/>
        </w:rPr>
        <w:t xml:space="preserve"> по мере разработки проектов проводился </w:t>
      </w:r>
      <w:r>
        <w:t>анализ нормативных правовых актов и проектов нормативных правовых актов Министерства на соответствие антимонопольному законодательству на постоянной основе.</w:t>
      </w:r>
    </w:p>
    <w:p w:rsidR="00141240" w:rsidRDefault="00141240" w:rsidP="00141240">
      <w:pPr>
        <w:ind w:left="-15"/>
      </w:pPr>
      <w:r>
        <w:t xml:space="preserve">2. За </w:t>
      </w:r>
      <w:r w:rsidR="00221237">
        <w:t>период 2023 - 2024</w:t>
      </w:r>
      <w:r w:rsidR="00466D33">
        <w:t xml:space="preserve"> гг.</w:t>
      </w:r>
      <w:r>
        <w:t xml:space="preserve"> Министерством также на постоянной основе проводился мониторинг и анализ практики применения Министерством антимонопольного законодательства. </w:t>
      </w:r>
    </w:p>
    <w:p w:rsidR="00141240" w:rsidRDefault="00141240" w:rsidP="00141240">
      <w:pPr>
        <w:ind w:left="-15"/>
        <w:rPr>
          <w:rFonts w:eastAsia="Arial"/>
        </w:rPr>
      </w:pPr>
      <w:r>
        <w:rPr>
          <w:rFonts w:eastAsia="Arial"/>
        </w:rPr>
        <w:t xml:space="preserve">3. </w:t>
      </w:r>
      <w:r w:rsidRPr="00252F90">
        <w:rPr>
          <w:rFonts w:eastAsia="Arial"/>
        </w:rPr>
        <w:t xml:space="preserve">За </w:t>
      </w:r>
      <w:r w:rsidR="00221237">
        <w:rPr>
          <w:rFonts w:eastAsia="Arial"/>
        </w:rPr>
        <w:t>период 2023-2024</w:t>
      </w:r>
      <w:r w:rsidR="004D4328">
        <w:rPr>
          <w:rFonts w:eastAsia="Arial"/>
        </w:rPr>
        <w:t xml:space="preserve"> </w:t>
      </w:r>
      <w:r w:rsidR="00466D33">
        <w:rPr>
          <w:rFonts w:eastAsia="Arial"/>
        </w:rPr>
        <w:t>гг.</w:t>
      </w:r>
      <w:r>
        <w:rPr>
          <w:rFonts w:eastAsia="Arial"/>
        </w:rPr>
        <w:t xml:space="preserve"> случаев</w:t>
      </w:r>
      <w:r w:rsidRPr="00252F90">
        <w:rPr>
          <w:rFonts w:eastAsia="Arial"/>
        </w:rPr>
        <w:t xml:space="preserve"> комплаенс-рисков в Министерстве</w:t>
      </w:r>
      <w:r>
        <w:rPr>
          <w:rFonts w:eastAsia="Arial"/>
        </w:rPr>
        <w:t xml:space="preserve"> не выявлено</w:t>
      </w:r>
      <w:r w:rsidRPr="00252F90">
        <w:rPr>
          <w:rFonts w:eastAsia="Arial"/>
        </w:rPr>
        <w:t>.</w:t>
      </w:r>
    </w:p>
    <w:p w:rsidR="00141240" w:rsidRDefault="00141240" w:rsidP="00141240">
      <w:pPr>
        <w:spacing w:after="21" w:line="259" w:lineRule="auto"/>
        <w:ind w:left="65" w:firstLine="0"/>
        <w:jc w:val="center"/>
      </w:pPr>
    </w:p>
    <w:p w:rsidR="00141240" w:rsidRDefault="00141240" w:rsidP="00141240">
      <w:pPr>
        <w:spacing w:after="21" w:line="259" w:lineRule="auto"/>
        <w:ind w:left="65" w:firstLine="0"/>
        <w:jc w:val="center"/>
      </w:pPr>
      <w:r>
        <w:t xml:space="preserve"> </w:t>
      </w:r>
    </w:p>
    <w:p w:rsidR="00141240" w:rsidRDefault="00141240" w:rsidP="00141240">
      <w:pPr>
        <w:ind w:left="2179" w:right="2103" w:firstLine="125"/>
        <w:jc w:val="center"/>
      </w:pPr>
      <w:r>
        <w:t xml:space="preserve">III. </w:t>
      </w:r>
      <w:r w:rsidRPr="001232EC">
        <w:rPr>
          <w:color w:val="auto"/>
        </w:rPr>
        <w:t>Оценка эффективности функционирования в Министерстве антимон</w:t>
      </w:r>
      <w:r w:rsidR="00F57B9E" w:rsidRPr="001232EC">
        <w:rPr>
          <w:color w:val="auto"/>
        </w:rPr>
        <w:t xml:space="preserve">опольного </w:t>
      </w:r>
      <w:proofErr w:type="spellStart"/>
      <w:r w:rsidR="00F57B9E" w:rsidRPr="001232EC">
        <w:rPr>
          <w:color w:val="auto"/>
        </w:rPr>
        <w:t>комплаенса</w:t>
      </w:r>
      <w:proofErr w:type="spellEnd"/>
      <w:r w:rsidR="00F57B9E">
        <w:t>.</w:t>
      </w:r>
    </w:p>
    <w:p w:rsidR="00141240" w:rsidRDefault="00141240" w:rsidP="00141240">
      <w:pPr>
        <w:spacing w:after="52" w:line="259" w:lineRule="auto"/>
        <w:ind w:left="62" w:firstLine="0"/>
        <w:jc w:val="center"/>
      </w:pPr>
    </w:p>
    <w:p w:rsidR="00141240" w:rsidRDefault="00141240" w:rsidP="00141240">
      <w:pPr>
        <w:ind w:left="-15"/>
      </w:pPr>
      <w:r>
        <w:t>Приказом министра от 11.03.2019 №</w:t>
      </w:r>
      <w:r w:rsidR="00F57B9E">
        <w:t xml:space="preserve"> </w:t>
      </w:r>
      <w:r>
        <w:t xml:space="preserve">46 – ОД утверждены следующие ключевые показатели эффективности функционирования в Министерстве антимонопольного </w:t>
      </w:r>
      <w:proofErr w:type="spellStart"/>
      <w:r>
        <w:t>комплаенса</w:t>
      </w:r>
      <w:proofErr w:type="spellEnd"/>
      <w:r>
        <w:t xml:space="preserve">: </w:t>
      </w:r>
    </w:p>
    <w:p w:rsidR="00141240" w:rsidRDefault="00141240" w:rsidP="00141240">
      <w:pPr>
        <w:numPr>
          <w:ilvl w:val="0"/>
          <w:numId w:val="2"/>
        </w:numPr>
      </w:pPr>
      <w:r>
        <w:t xml:space="preserve">Коэффициент снижения количества нарушений антимонопольного законодательства со стороны Министерства (по сравнению с годом, предшествующим двумя годами ранее).   </w:t>
      </w:r>
    </w:p>
    <w:p w:rsidR="00141240" w:rsidRDefault="00141240" w:rsidP="00141240">
      <w:pPr>
        <w:numPr>
          <w:ilvl w:val="0"/>
          <w:numId w:val="2"/>
        </w:numPr>
      </w:pPr>
      <w:r>
        <w:t xml:space="preserve">Доля проектов нормативных правовых актов Министерства, в которых выявлены риски нарушения антимонопольного законодательства. </w:t>
      </w:r>
    </w:p>
    <w:p w:rsidR="00141240" w:rsidRDefault="00141240" w:rsidP="00141240">
      <w:pPr>
        <w:numPr>
          <w:ilvl w:val="0"/>
          <w:numId w:val="2"/>
        </w:numPr>
      </w:pPr>
      <w:r>
        <w:t xml:space="preserve">Доля нормативных правовых актов Министерства, в которых выявлены риски нарушения антимонопольного законодательства. </w:t>
      </w:r>
    </w:p>
    <w:p w:rsidR="00141240" w:rsidRDefault="00141240" w:rsidP="00141240">
      <w:pPr>
        <w:ind w:left="-15"/>
      </w:pPr>
      <w:r>
        <w:t xml:space="preserve">Также вышеназванным приказом утвержден такой показатель эффективности функционирования антимонопольного комплекса для уполномоченного подразделения (должностного лица) как доля сотрудников Министерства, с </w:t>
      </w:r>
      <w:r>
        <w:lastRenderedPageBreak/>
        <w:t xml:space="preserve">которыми были проведены обучающие мероприятия по антимонопольному законодательству и антимонопольному </w:t>
      </w:r>
      <w:proofErr w:type="spellStart"/>
      <w:r>
        <w:t>комплаенсу</w:t>
      </w:r>
      <w:proofErr w:type="spellEnd"/>
      <w:r>
        <w:t>.</w:t>
      </w:r>
    </w:p>
    <w:p w:rsidR="002D1920" w:rsidRDefault="00141240" w:rsidP="00141240">
      <w:pPr>
        <w:ind w:left="-15"/>
      </w:pPr>
      <w:r>
        <w:t xml:space="preserve">  Ключевые показатели эффективности функционирования в Министерстве антимонопольного </w:t>
      </w:r>
      <w:proofErr w:type="spellStart"/>
      <w:r>
        <w:t>комплаенса</w:t>
      </w:r>
      <w:proofErr w:type="spellEnd"/>
      <w:r>
        <w:t xml:space="preserve"> достигнуты. Вместе с тем необходимо отметить, что обучающие мероприятия среди сотрудников Министерства </w:t>
      </w:r>
      <w:r w:rsidRPr="009D60CB">
        <w:t xml:space="preserve">по антимонопольному законодательству и антимонопольному </w:t>
      </w:r>
      <w:proofErr w:type="spellStart"/>
      <w:r w:rsidRPr="009D60CB">
        <w:t>комплаенсу</w:t>
      </w:r>
      <w:proofErr w:type="spellEnd"/>
      <w:r w:rsidRPr="009D60CB">
        <w:t xml:space="preserve"> </w:t>
      </w:r>
      <w:r>
        <w:t xml:space="preserve">за период </w:t>
      </w:r>
      <w:r w:rsidR="00221237">
        <w:t>2023-2024</w:t>
      </w:r>
      <w:r w:rsidR="00466D33">
        <w:t xml:space="preserve"> гг. </w:t>
      </w:r>
      <w:r>
        <w:t>в Министерстве проведены не были.</w:t>
      </w:r>
    </w:p>
    <w:sectPr w:rsidR="002D1920" w:rsidSect="00252F90">
      <w:headerReference w:type="even" r:id="rId7"/>
      <w:headerReference w:type="default" r:id="rId8"/>
      <w:headerReference w:type="first" r:id="rId9"/>
      <w:pgSz w:w="11900" w:h="16840"/>
      <w:pgMar w:top="1196" w:right="701" w:bottom="131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74" w:rsidRDefault="00E44474">
      <w:pPr>
        <w:spacing w:after="0" w:line="240" w:lineRule="auto"/>
      </w:pPr>
      <w:r>
        <w:separator/>
      </w:r>
    </w:p>
  </w:endnote>
  <w:endnote w:type="continuationSeparator" w:id="0">
    <w:p w:rsidR="00E44474" w:rsidRDefault="00E4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74" w:rsidRDefault="00E44474">
      <w:pPr>
        <w:spacing w:after="0" w:line="240" w:lineRule="auto"/>
      </w:pPr>
      <w:r>
        <w:separator/>
      </w:r>
    </w:p>
  </w:footnote>
  <w:footnote w:type="continuationSeparator" w:id="0">
    <w:p w:rsidR="00E44474" w:rsidRDefault="00E4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50" w:rsidRDefault="00141240">
    <w:pPr>
      <w:spacing w:after="0" w:line="259" w:lineRule="auto"/>
      <w:ind w:left="7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A22050" w:rsidRDefault="00141240">
    <w:pPr>
      <w:spacing w:after="0" w:line="259" w:lineRule="auto"/>
      <w:ind w:left="72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50" w:rsidRDefault="00141240">
    <w:pPr>
      <w:spacing w:after="0" w:line="259" w:lineRule="auto"/>
      <w:ind w:left="7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B74" w:rsidRPr="00C25B74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:rsidR="00A22050" w:rsidRDefault="00141240">
    <w:pPr>
      <w:spacing w:after="0" w:line="259" w:lineRule="auto"/>
      <w:ind w:left="72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50" w:rsidRDefault="00E4447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6B2B"/>
    <w:multiLevelType w:val="hybridMultilevel"/>
    <w:tmpl w:val="20A49492"/>
    <w:lvl w:ilvl="0" w:tplc="1D22F7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47A3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E6C7F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262C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66B0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E4C6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4AED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0EBA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1026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DB05EB"/>
    <w:multiLevelType w:val="hybridMultilevel"/>
    <w:tmpl w:val="7A5A2E04"/>
    <w:lvl w:ilvl="0" w:tplc="9E5EFB62">
      <w:start w:val="1"/>
      <w:numFmt w:val="upperRoman"/>
      <w:lvlText w:val="%1.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C9D9C">
      <w:start w:val="1"/>
      <w:numFmt w:val="lowerLetter"/>
      <w:lvlText w:val="%2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E1FA6">
      <w:start w:val="1"/>
      <w:numFmt w:val="lowerRoman"/>
      <w:lvlText w:val="%3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07524">
      <w:start w:val="1"/>
      <w:numFmt w:val="decimal"/>
      <w:lvlText w:val="%4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E332E">
      <w:start w:val="1"/>
      <w:numFmt w:val="lowerLetter"/>
      <w:lvlText w:val="%5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343994">
      <w:start w:val="1"/>
      <w:numFmt w:val="lowerRoman"/>
      <w:lvlText w:val="%6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8FBB4">
      <w:start w:val="1"/>
      <w:numFmt w:val="decimal"/>
      <w:lvlText w:val="%7"/>
      <w:lvlJc w:val="left"/>
      <w:pPr>
        <w:ind w:left="7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AB53C">
      <w:start w:val="1"/>
      <w:numFmt w:val="lowerLetter"/>
      <w:lvlText w:val="%8"/>
      <w:lvlJc w:val="left"/>
      <w:pPr>
        <w:ind w:left="7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16297C">
      <w:start w:val="1"/>
      <w:numFmt w:val="lowerRoman"/>
      <w:lvlText w:val="%9"/>
      <w:lvlJc w:val="left"/>
      <w:pPr>
        <w:ind w:left="8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D"/>
    <w:rsid w:val="00067FA4"/>
    <w:rsid w:val="000B0205"/>
    <w:rsid w:val="001232EC"/>
    <w:rsid w:val="00141240"/>
    <w:rsid w:val="001D1503"/>
    <w:rsid w:val="00221237"/>
    <w:rsid w:val="00236EC4"/>
    <w:rsid w:val="00262912"/>
    <w:rsid w:val="002D1920"/>
    <w:rsid w:val="003B2BA2"/>
    <w:rsid w:val="00466D33"/>
    <w:rsid w:val="004D4328"/>
    <w:rsid w:val="00594626"/>
    <w:rsid w:val="005D5564"/>
    <w:rsid w:val="00645504"/>
    <w:rsid w:val="007C637B"/>
    <w:rsid w:val="0086378C"/>
    <w:rsid w:val="00880A98"/>
    <w:rsid w:val="009C3B2F"/>
    <w:rsid w:val="009D5A79"/>
    <w:rsid w:val="00A00DB1"/>
    <w:rsid w:val="00A0205E"/>
    <w:rsid w:val="00B538DE"/>
    <w:rsid w:val="00BF6967"/>
    <w:rsid w:val="00C156AC"/>
    <w:rsid w:val="00C25B74"/>
    <w:rsid w:val="00CD4B90"/>
    <w:rsid w:val="00CD4E36"/>
    <w:rsid w:val="00D175C8"/>
    <w:rsid w:val="00E44474"/>
    <w:rsid w:val="00E446A4"/>
    <w:rsid w:val="00E56AD3"/>
    <w:rsid w:val="00E64D44"/>
    <w:rsid w:val="00F45B1D"/>
    <w:rsid w:val="00F5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A793C-E25A-49CC-BAEC-B602206C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40"/>
    <w:pPr>
      <w:spacing w:after="11" w:line="268" w:lineRule="auto"/>
      <w:ind w:left="2463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Гильфанова Раиля Римовна</dc:creator>
  <cp:keywords/>
  <dc:description/>
  <cp:lastModifiedBy>Грачева Анна Михайловна</cp:lastModifiedBy>
  <cp:revision>2</cp:revision>
  <dcterms:created xsi:type="dcterms:W3CDTF">2025-01-10T12:57:00Z</dcterms:created>
  <dcterms:modified xsi:type="dcterms:W3CDTF">2025-01-10T12:57:00Z</dcterms:modified>
</cp:coreProperties>
</file>